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ANEXO I</w:t>
      </w:r>
    </w:p>
    <w:p>
      <w:pPr>
        <w:jc w:val="center"/>
      </w:pPr>
      <w:r>
        <w:rPr>
          <w:rFonts w:ascii="Times New Roman" w:hAnsi="Times New Roman"/>
          <w:b/>
          <w:sz w:val="24"/>
        </w:rPr>
        <w:t>CRITÉRIOS PARA AVALIAÇÃO DO MÉRITO DA PROPOSTA E DA RELEVÂNCIA DA PUBLICAÇÃO</w:t>
      </w:r>
    </w:p>
    <w:p>
      <w:r>
        <w:t>A avaliação observará escala de 0 a 100 pontos, segundo os critérios abaixo.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t>Critério</w:t>
            </w:r>
          </w:p>
        </w:tc>
        <w:tc>
          <w:tcPr>
            <w:tcW w:type="dxa" w:w="3135"/>
          </w:tcPr>
          <w:p>
            <w:r>
              <w:t>Elementos de análise</w:t>
            </w:r>
          </w:p>
        </w:tc>
        <w:tc>
          <w:tcPr>
            <w:tcW w:type="dxa" w:w="3135"/>
          </w:tcPr>
          <w:p>
            <w:r>
              <w:t>Pontos</w:t>
            </w:r>
          </w:p>
        </w:tc>
      </w:tr>
      <w:tr>
        <w:tc>
          <w:tcPr>
            <w:tcW w:type="dxa" w:w="3135"/>
            <w:vAlign w:val="center"/>
          </w:tcPr>
          <w:p>
            <w:r>
              <w:t>Mérito científico, técnico ou cultural</w:t>
            </w:r>
          </w:p>
        </w:tc>
        <w:tc>
          <w:tcPr>
            <w:tcW w:type="dxa" w:w="3135"/>
            <w:vAlign w:val="center"/>
          </w:tcPr>
          <w:p>
            <w:r>
              <w:t>Qualidade, rigor, fundamentação, consistência metodológica e contribuição do conteúdo.</w:t>
            </w:r>
          </w:p>
        </w:tc>
        <w:tc>
          <w:tcPr>
            <w:tcW w:type="dxa" w:w="3135"/>
            <w:vAlign w:val="center"/>
          </w:tcPr>
          <w:p>
            <w:r>
              <w:t>25</w:t>
            </w:r>
          </w:p>
        </w:tc>
      </w:tr>
      <w:tr>
        <w:tc>
          <w:tcPr>
            <w:tcW w:type="dxa" w:w="3135"/>
            <w:vAlign w:val="center"/>
          </w:tcPr>
          <w:p>
            <w:r>
              <w:t>Relevância da publicação</w:t>
            </w:r>
          </w:p>
        </w:tc>
        <w:tc>
          <w:tcPr>
            <w:tcW w:type="dxa" w:w="3135"/>
            <w:vAlign w:val="center"/>
          </w:tcPr>
          <w:p>
            <w:r>
              <w:t>Importância acadêmica, científica, cultural, educacional ou social; atualidade; lacuna atendida; contribuição para o Maranhão.</w:t>
            </w:r>
          </w:p>
        </w:tc>
        <w:tc>
          <w:tcPr>
            <w:tcW w:type="dxa" w:w="3135"/>
            <w:vAlign w:val="center"/>
          </w:tcPr>
          <w:p>
            <w:r>
              <w:t>20</w:t>
            </w:r>
          </w:p>
        </w:tc>
      </w:tr>
      <w:tr>
        <w:tc>
          <w:tcPr>
            <w:tcW w:type="dxa" w:w="3135"/>
            <w:vAlign w:val="center"/>
          </w:tcPr>
          <w:p>
            <w:r>
              <w:t>Coerência e unidade editorial</w:t>
            </w:r>
          </w:p>
        </w:tc>
        <w:tc>
          <w:tcPr>
            <w:tcW w:type="dxa" w:w="3135"/>
            <w:vAlign w:val="center"/>
          </w:tcPr>
          <w:p>
            <w:r>
              <w:t>Eixo temático, articulação entre capítulos, sequência lógica, objetivos e uniformidade da coletânea.</w:t>
            </w:r>
          </w:p>
        </w:tc>
        <w:tc>
          <w:tcPr>
            <w:tcW w:type="dxa" w:w="3135"/>
            <w:vAlign w:val="center"/>
          </w:tcPr>
          <w:p>
            <w:r>
              <w:t>15</w:t>
            </w:r>
          </w:p>
        </w:tc>
      </w:tr>
      <w:tr>
        <w:tc>
          <w:tcPr>
            <w:tcW w:type="dxa" w:w="3135"/>
            <w:vAlign w:val="center"/>
          </w:tcPr>
          <w:p>
            <w:r>
              <w:t>Originalidade e ineditismo</w:t>
            </w:r>
          </w:p>
        </w:tc>
        <w:tc>
          <w:tcPr>
            <w:tcW w:type="dxa" w:w="3135"/>
            <w:vAlign w:val="center"/>
          </w:tcPr>
          <w:p>
            <w:r>
              <w:t>Novidade do recorte, diferenciação, contribuição intelectual e ineditismo formal.</w:t>
            </w:r>
          </w:p>
        </w:tc>
        <w:tc>
          <w:tcPr>
            <w:tcW w:type="dxa" w:w="3135"/>
            <w:vAlign w:val="center"/>
          </w:tcPr>
          <w:p>
            <w:r>
              <w:t>10</w:t>
            </w:r>
          </w:p>
        </w:tc>
      </w:tr>
      <w:tr>
        <w:tc>
          <w:tcPr>
            <w:tcW w:type="dxa" w:w="3135"/>
            <w:vAlign w:val="center"/>
          </w:tcPr>
          <w:p>
            <w:r>
              <w:t>Qualificação do proponente e equipe</w:t>
            </w:r>
          </w:p>
        </w:tc>
        <w:tc>
          <w:tcPr>
            <w:tcW w:type="dxa" w:w="3135"/>
            <w:vAlign w:val="center"/>
          </w:tcPr>
          <w:p>
            <w:r>
              <w:t>Formação, produção e experiência compatíveis com o tema e a coordenação.</w:t>
            </w:r>
          </w:p>
        </w:tc>
        <w:tc>
          <w:tcPr>
            <w:tcW w:type="dxa" w:w="3135"/>
            <w:vAlign w:val="center"/>
          </w:tcPr>
          <w:p>
            <w:r>
              <w:t>10</w:t>
            </w:r>
          </w:p>
        </w:tc>
      </w:tr>
      <w:tr>
        <w:tc>
          <w:tcPr>
            <w:tcW w:type="dxa" w:w="3135"/>
            <w:vAlign w:val="center"/>
          </w:tcPr>
          <w:p>
            <w:r>
              <w:t>Adequação ao edital e viabilidade editorial</w:t>
            </w:r>
          </w:p>
        </w:tc>
        <w:tc>
          <w:tcPr>
            <w:tcW w:type="dxa" w:w="3135"/>
            <w:vAlign w:val="center"/>
          </w:tcPr>
          <w:p>
            <w:r>
              <w:t>Completude, extensão, idioma, template, arquivos, prazos e condições de publicação.</w:t>
            </w:r>
          </w:p>
        </w:tc>
        <w:tc>
          <w:tcPr>
            <w:tcW w:type="dxa" w:w="3135"/>
            <w:vAlign w:val="center"/>
          </w:tcPr>
          <w:p>
            <w:r>
              <w:t>10</w:t>
            </w:r>
          </w:p>
        </w:tc>
      </w:tr>
      <w:tr>
        <w:tc>
          <w:tcPr>
            <w:tcW w:type="dxa" w:w="3135"/>
            <w:vAlign w:val="center"/>
          </w:tcPr>
          <w:p>
            <w:r>
              <w:t>Potencial de difusão e impacto</w:t>
            </w:r>
          </w:p>
        </w:tc>
        <w:tc>
          <w:tcPr>
            <w:tcW w:type="dxa" w:w="3135"/>
            <w:vAlign w:val="center"/>
          </w:tcPr>
          <w:p>
            <w:r>
              <w:t>Público, uso, circulação acadêmica/institucional e alcance digital.</w:t>
            </w:r>
          </w:p>
        </w:tc>
        <w:tc>
          <w:tcPr>
            <w:tcW w:type="dxa" w:w="3135"/>
            <w:vAlign w:val="center"/>
          </w:tcPr>
          <w:p>
            <w:r>
              <w:t>5</w:t>
            </w:r>
          </w:p>
        </w:tc>
      </w:tr>
      <w:tr>
        <w:tc>
          <w:tcPr>
            <w:tcW w:type="dxa" w:w="3135"/>
            <w:vAlign w:val="center"/>
          </w:tcPr>
          <w:p>
            <w:r>
              <w:t>Alinhamento com o Plano Maranhão 2050</w:t>
            </w:r>
          </w:p>
        </w:tc>
        <w:tc>
          <w:tcPr>
            <w:tcW w:type="dxa" w:w="3135"/>
            <w:vAlign w:val="center"/>
          </w:tcPr>
          <w:p>
            <w:r>
              <w:t>Contribuição demonstrada para Áreas de Resultado e Desafios Estratégicos, quando pertinente.</w:t>
            </w:r>
          </w:p>
        </w:tc>
        <w:tc>
          <w:tcPr>
            <w:tcW w:type="dxa" w:w="3135"/>
            <w:vAlign w:val="center"/>
          </w:tcPr>
          <w:p>
            <w:r>
              <w:t>5</w:t>
            </w:r>
          </w:p>
        </w:tc>
      </w:tr>
      <w:tr>
        <w:tc>
          <w:tcPr>
            <w:tcW w:type="dxa" w:w="6270"/>
            <w:gridSpan w:val="2"/>
          </w:tcPr>
          <w:p>
            <w:r>
              <w:t>TOTAL</w:t>
            </w:r>
          </w:p>
        </w:tc>
        <w:tc>
          <w:tcPr>
            <w:tcW w:type="dxa" w:w="3135"/>
          </w:tcPr>
          <w:p>
            <w:r>
              <w:t>100</w:t>
            </w:r>
          </w:p>
        </w:tc>
      </w:tr>
    </w:tbl>
    <w:p>
      <w:r>
        <w:t>A proposta será considerada recomendada quando alcançar nota final igual ou superior a 60 pontos, sem prejuízo do atendimento aos requisitos de elegibilidade, da disponibilidade financeira e da capacidade editorial da AMC.</w:t>
      </w:r>
    </w:p>
    <w:p>
      <w:r>
        <w:t>Cada proposta será examinada por, no mínimo, dois avaliadores. Havendo diferença superior a 20 pontos entre as notas finais, será designado terceiro avaliador e a nota final corresponderá à média das duas notas mais próximas.</w:t>
      </w:r>
    </w:p>
    <w:p>
      <w:r>
        <w:t>O avaliador ou membro do Comitê que possuir conflito de interesse deverá declarar-se impedido e não participará da avaliação da proposta correspondente.</w:t>
      </w:r>
    </w:p>
    <w:p>
      <w:r>
        <w:t>O resultado deverá indicar a nota final, a condição de recomendada ou não recomendada e justificativa sintética. Da decisão caberá recurso fundamentado à Presidência da AMC, no prazo previsto no Edital.</w:t>
      </w:r>
    </w:p>
    <w:sectPr w:rsidR="00FC693F" w:rsidRPr="0006063C" w:rsidSect="00034616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